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243B5" w14:textId="21254141" w:rsidR="000C168F" w:rsidRPr="00EB3D36" w:rsidRDefault="000C168F" w:rsidP="000C168F">
      <w:pPr>
        <w:rPr>
          <w:rFonts w:ascii="Arial" w:hAnsi="Arial"/>
          <w:b/>
        </w:rPr>
      </w:pPr>
      <w:bookmarkStart w:id="0" w:name="_GoBack"/>
      <w:bookmarkEnd w:id="0"/>
      <w:r w:rsidRPr="00EB3D36">
        <w:rPr>
          <w:rFonts w:ascii="Arial" w:hAnsi="Arial"/>
          <w:b/>
        </w:rPr>
        <w:t xml:space="preserve">Arts and Sciences Distance Learning Online Course Component Technical Review Checklist </w:t>
      </w:r>
    </w:p>
    <w:p w14:paraId="11DC59D0" w14:textId="77777777" w:rsidR="000C168F" w:rsidRPr="00EB3D36" w:rsidRDefault="000C168F" w:rsidP="000C168F">
      <w:pPr>
        <w:rPr>
          <w:rFonts w:ascii="Arial" w:hAnsi="Arial"/>
          <w:b/>
        </w:rPr>
      </w:pPr>
    </w:p>
    <w:p w14:paraId="4D6E38FC" w14:textId="353FFECD" w:rsidR="000C168F" w:rsidRPr="00D32B17" w:rsidRDefault="000C168F" w:rsidP="000C168F">
      <w:pPr>
        <w:rPr>
          <w:rFonts w:ascii="Arial" w:hAnsi="Arial"/>
        </w:rPr>
      </w:pPr>
      <w:r w:rsidRPr="00EB3D36">
        <w:rPr>
          <w:rFonts w:ascii="Arial" w:hAnsi="Arial"/>
          <w:b/>
        </w:rPr>
        <w:t>Course:</w:t>
      </w:r>
      <w:r w:rsidR="00752923">
        <w:rPr>
          <w:rFonts w:ascii="Arial" w:hAnsi="Arial"/>
          <w:b/>
        </w:rPr>
        <w:t xml:space="preserve">  </w:t>
      </w:r>
      <w:r w:rsidR="00752923">
        <w:rPr>
          <w:rFonts w:ascii="Arial" w:hAnsi="Arial"/>
        </w:rPr>
        <w:t>Mike Kaylor</w:t>
      </w:r>
      <w:r w:rsidRPr="00EB3D36">
        <w:rPr>
          <w:rFonts w:ascii="Arial" w:hAnsi="Arial"/>
          <w:b/>
        </w:rPr>
        <w:t xml:space="preserve"> </w:t>
      </w:r>
    </w:p>
    <w:p w14:paraId="188CECC6" w14:textId="154C1A45" w:rsidR="000C168F" w:rsidRPr="00752923" w:rsidRDefault="000C168F" w:rsidP="000C168F">
      <w:pPr>
        <w:rPr>
          <w:rFonts w:ascii="Arial" w:hAnsi="Arial"/>
        </w:rPr>
      </w:pPr>
      <w:r w:rsidRPr="00EB3D36">
        <w:rPr>
          <w:rFonts w:ascii="Arial" w:hAnsi="Arial"/>
          <w:b/>
        </w:rPr>
        <w:t xml:space="preserve">Instructor:  </w:t>
      </w:r>
      <w:r w:rsidR="0029415E">
        <w:rPr>
          <w:rFonts w:ascii="Arial" w:hAnsi="Arial"/>
        </w:rPr>
        <w:t>Cricket Keating</w:t>
      </w:r>
    </w:p>
    <w:p w14:paraId="71641782" w14:textId="5B12E1F7" w:rsidR="000C168F" w:rsidRPr="00752923" w:rsidRDefault="000C168F" w:rsidP="000C168F">
      <w:pPr>
        <w:rPr>
          <w:rFonts w:ascii="Arial" w:hAnsi="Arial"/>
        </w:rPr>
      </w:pPr>
      <w:r w:rsidRPr="00EB3D36">
        <w:rPr>
          <w:rFonts w:ascii="Arial" w:hAnsi="Arial"/>
          <w:b/>
        </w:rPr>
        <w:t xml:space="preserve">Summary:  </w:t>
      </w:r>
      <w:r w:rsidR="0029415E">
        <w:rPr>
          <w:rFonts w:ascii="Arial" w:hAnsi="Arial"/>
        </w:rPr>
        <w:t>WGSS 4597</w:t>
      </w:r>
      <w:r w:rsidR="00752923" w:rsidRPr="00752923">
        <w:rPr>
          <w:rFonts w:ascii="Arial" w:hAnsi="Arial"/>
        </w:rPr>
        <w:t xml:space="preserve"> </w:t>
      </w:r>
      <w:r w:rsidR="009D06FC" w:rsidRPr="00752923">
        <w:rPr>
          <w:rFonts w:ascii="Arial" w:hAnsi="Arial"/>
        </w:rPr>
        <w:t>Online Course</w:t>
      </w:r>
    </w:p>
    <w:p w14:paraId="27E6BD2E" w14:textId="77777777" w:rsidR="000C168F" w:rsidRPr="00EB3D36" w:rsidRDefault="000C168F" w:rsidP="000C168F">
      <w:pPr>
        <w:rPr>
          <w:rFonts w:ascii="Arial" w:hAnsi="Arial"/>
          <w:b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5508"/>
        <w:gridCol w:w="720"/>
        <w:gridCol w:w="1440"/>
        <w:gridCol w:w="630"/>
        <w:gridCol w:w="7290"/>
      </w:tblGrid>
      <w:tr w:rsidR="00EB3D36" w:rsidRPr="00EB3D36" w14:paraId="3938EAC0" w14:textId="77777777" w:rsidTr="0077445A">
        <w:tc>
          <w:tcPr>
            <w:tcW w:w="5508" w:type="dxa"/>
            <w:shd w:val="clear" w:color="auto" w:fill="A6A6A6"/>
          </w:tcPr>
          <w:p w14:paraId="59F4575D" w14:textId="77777777" w:rsidR="000C168F" w:rsidRPr="00EB3D36" w:rsidRDefault="000C168F" w:rsidP="00EB3D36">
            <w:pPr>
              <w:jc w:val="center"/>
              <w:rPr>
                <w:rFonts w:ascii="Arial" w:hAnsi="Arial"/>
                <w:b/>
              </w:rPr>
            </w:pPr>
            <w:r w:rsidRPr="00EB3D36">
              <w:rPr>
                <w:rFonts w:ascii="Arial" w:hAnsi="Arial"/>
                <w:b/>
              </w:rPr>
              <w:t>Standard - Course Technology</w:t>
            </w:r>
          </w:p>
        </w:tc>
        <w:tc>
          <w:tcPr>
            <w:tcW w:w="720" w:type="dxa"/>
            <w:shd w:val="clear" w:color="auto" w:fill="A6A6A6"/>
          </w:tcPr>
          <w:p w14:paraId="0DC879D5" w14:textId="77777777" w:rsidR="000C168F" w:rsidRPr="00EB3D36" w:rsidRDefault="000C168F" w:rsidP="00EB3D36">
            <w:pPr>
              <w:jc w:val="center"/>
              <w:rPr>
                <w:rFonts w:ascii="Arial" w:hAnsi="Arial"/>
                <w:b/>
              </w:rPr>
            </w:pPr>
            <w:r w:rsidRPr="00EB3D36">
              <w:rPr>
                <w:rFonts w:ascii="Arial" w:hAnsi="Arial"/>
                <w:b/>
              </w:rPr>
              <w:t>Yes</w:t>
            </w:r>
          </w:p>
        </w:tc>
        <w:tc>
          <w:tcPr>
            <w:tcW w:w="1440" w:type="dxa"/>
            <w:shd w:val="clear" w:color="auto" w:fill="A6A6A6"/>
          </w:tcPr>
          <w:p w14:paraId="5EF69B32" w14:textId="77777777" w:rsidR="000C168F" w:rsidRPr="00EB3D36" w:rsidRDefault="000C168F" w:rsidP="00EB3D36">
            <w:pPr>
              <w:jc w:val="center"/>
              <w:rPr>
                <w:rFonts w:ascii="Arial" w:hAnsi="Arial"/>
                <w:b/>
              </w:rPr>
            </w:pPr>
            <w:r w:rsidRPr="00EB3D36">
              <w:rPr>
                <w:rFonts w:ascii="Arial" w:hAnsi="Arial"/>
                <w:b/>
              </w:rPr>
              <w:t>Yes with Revisions</w:t>
            </w:r>
          </w:p>
        </w:tc>
        <w:tc>
          <w:tcPr>
            <w:tcW w:w="630" w:type="dxa"/>
            <w:shd w:val="clear" w:color="auto" w:fill="A6A6A6"/>
          </w:tcPr>
          <w:p w14:paraId="35ACBD8F" w14:textId="77777777" w:rsidR="000C168F" w:rsidRPr="00EB3D36" w:rsidRDefault="000C168F" w:rsidP="00EB3D36">
            <w:pPr>
              <w:jc w:val="center"/>
              <w:rPr>
                <w:rFonts w:ascii="Arial" w:hAnsi="Arial"/>
                <w:b/>
              </w:rPr>
            </w:pPr>
            <w:r w:rsidRPr="00EB3D36">
              <w:rPr>
                <w:rFonts w:ascii="Arial" w:hAnsi="Arial"/>
                <w:b/>
              </w:rPr>
              <w:t>No</w:t>
            </w:r>
          </w:p>
        </w:tc>
        <w:tc>
          <w:tcPr>
            <w:tcW w:w="7290" w:type="dxa"/>
            <w:shd w:val="clear" w:color="auto" w:fill="A6A6A6"/>
          </w:tcPr>
          <w:p w14:paraId="3EF0DC1C" w14:textId="77777777" w:rsidR="000C168F" w:rsidRPr="00EB3D36" w:rsidRDefault="000C168F" w:rsidP="00EB3D36">
            <w:pPr>
              <w:jc w:val="center"/>
              <w:rPr>
                <w:rFonts w:ascii="Arial" w:hAnsi="Arial"/>
                <w:b/>
              </w:rPr>
            </w:pPr>
            <w:r w:rsidRPr="00EB3D36">
              <w:rPr>
                <w:rFonts w:ascii="Arial" w:hAnsi="Arial"/>
                <w:b/>
              </w:rPr>
              <w:t>Feedback/recommendations</w:t>
            </w:r>
          </w:p>
        </w:tc>
      </w:tr>
      <w:tr w:rsidR="000C168F" w:rsidRPr="00EB3D36" w14:paraId="301BD547" w14:textId="77777777" w:rsidTr="0077445A">
        <w:tc>
          <w:tcPr>
            <w:tcW w:w="5508" w:type="dxa"/>
          </w:tcPr>
          <w:p w14:paraId="579293A7" w14:textId="44E99B28" w:rsidR="000C168F" w:rsidRPr="00EB3D36" w:rsidRDefault="00D10763" w:rsidP="00EB3D3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6.1 </w:t>
            </w:r>
            <w:r w:rsidR="000C168F" w:rsidRPr="00EB3D36">
              <w:rPr>
                <w:rFonts w:ascii="Arial" w:hAnsi="Arial"/>
                <w:sz w:val="20"/>
                <w:szCs w:val="20"/>
              </w:rPr>
              <w:t>The tools used in the course support the learning objectives and competencies.</w:t>
            </w:r>
          </w:p>
        </w:tc>
        <w:tc>
          <w:tcPr>
            <w:tcW w:w="720" w:type="dxa"/>
          </w:tcPr>
          <w:p w14:paraId="2D374795" w14:textId="2D4521A6" w:rsidR="000C168F" w:rsidRPr="00EB3D36" w:rsidRDefault="000F7D8E" w:rsidP="00EB3D3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440" w:type="dxa"/>
          </w:tcPr>
          <w:p w14:paraId="3CC1F7C5" w14:textId="77777777" w:rsidR="000C168F" w:rsidRPr="00EB3D36" w:rsidRDefault="000C168F" w:rsidP="00EB3D36">
            <w:pPr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784B15D5" w14:textId="77777777" w:rsidR="000C168F" w:rsidRPr="00EB3D36" w:rsidRDefault="000C168F" w:rsidP="00EB3D36">
            <w:pPr>
              <w:rPr>
                <w:rFonts w:ascii="Arial" w:hAnsi="Arial"/>
              </w:rPr>
            </w:pPr>
          </w:p>
        </w:tc>
        <w:tc>
          <w:tcPr>
            <w:tcW w:w="7290" w:type="dxa"/>
          </w:tcPr>
          <w:p w14:paraId="01515E47" w14:textId="2F82AC83" w:rsidR="005E2A85" w:rsidRDefault="00E0635E" w:rsidP="005E2A85">
            <w:r w:rsidRPr="00654CA3">
              <w:t xml:space="preserve">All tools and media that will be used in this course align to support the course learning objectives. This course </w:t>
            </w:r>
            <w:r w:rsidR="00D32B17">
              <w:t xml:space="preserve">and all content </w:t>
            </w:r>
            <w:r w:rsidRPr="00654CA3">
              <w:t>w</w:t>
            </w:r>
            <w:r w:rsidR="00D32B17">
              <w:t>ill be delivered through</w:t>
            </w:r>
            <w:r w:rsidRPr="00654CA3">
              <w:t xml:space="preserve"> </w:t>
            </w:r>
            <w:r>
              <w:t>Carmen</w:t>
            </w:r>
            <w:r w:rsidR="002E30B4">
              <w:t xml:space="preserve"> and </w:t>
            </w:r>
            <w:r w:rsidR="00D32B17">
              <w:t>Carmen Connect</w:t>
            </w:r>
            <w:r w:rsidR="002E30B4">
              <w:t xml:space="preserve">. </w:t>
            </w:r>
            <w:r w:rsidR="00D32B17">
              <w:t xml:space="preserve"> </w:t>
            </w:r>
            <w:r w:rsidR="002E30B4">
              <w:t xml:space="preserve">This course will </w:t>
            </w:r>
            <w:proofErr w:type="gramStart"/>
            <w:r w:rsidR="002E30B4">
              <w:t>be  synchronous</w:t>
            </w:r>
            <w:proofErr w:type="gramEnd"/>
            <w:r w:rsidR="002E30B4">
              <w:t xml:space="preserve"> online course.</w:t>
            </w:r>
            <w:r w:rsidR="00D32B17">
              <w:t xml:space="preserve">  </w:t>
            </w:r>
          </w:p>
          <w:p w14:paraId="73918157" w14:textId="284573D1" w:rsidR="00421571" w:rsidRPr="005E2A85" w:rsidRDefault="00421571" w:rsidP="005E2A85"/>
        </w:tc>
      </w:tr>
      <w:tr w:rsidR="005E2A85" w:rsidRPr="00EB3D36" w14:paraId="2F1420F7" w14:textId="77777777" w:rsidTr="0077445A">
        <w:tc>
          <w:tcPr>
            <w:tcW w:w="5508" w:type="dxa"/>
          </w:tcPr>
          <w:p w14:paraId="36D1C336" w14:textId="344496E8" w:rsidR="005E2A85" w:rsidRPr="00EB3D36" w:rsidRDefault="005E2A85" w:rsidP="005E2A8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6.2 </w:t>
            </w:r>
            <w:r w:rsidRPr="00EB3D36">
              <w:rPr>
                <w:rFonts w:ascii="Arial" w:hAnsi="Arial"/>
                <w:sz w:val="20"/>
                <w:szCs w:val="20"/>
              </w:rPr>
              <w:t>Course tools promote learner engagement and active learning.</w:t>
            </w:r>
          </w:p>
        </w:tc>
        <w:tc>
          <w:tcPr>
            <w:tcW w:w="720" w:type="dxa"/>
          </w:tcPr>
          <w:p w14:paraId="283AADDC" w14:textId="50289846" w:rsidR="005E2A85" w:rsidRPr="00EB3D36" w:rsidRDefault="000F7D8E" w:rsidP="005E2A8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440" w:type="dxa"/>
          </w:tcPr>
          <w:p w14:paraId="6E2C9015" w14:textId="77777777" w:rsidR="005E2A85" w:rsidRPr="00EB3D36" w:rsidRDefault="005E2A85" w:rsidP="005E2A85">
            <w:pPr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3EA07A8D" w14:textId="77777777" w:rsidR="005E2A85" w:rsidRPr="00EB3D36" w:rsidRDefault="005E2A85" w:rsidP="005E2A85">
            <w:pPr>
              <w:rPr>
                <w:rFonts w:ascii="Arial" w:hAnsi="Arial"/>
              </w:rPr>
            </w:pPr>
          </w:p>
        </w:tc>
        <w:tc>
          <w:tcPr>
            <w:tcW w:w="7290" w:type="dxa"/>
          </w:tcPr>
          <w:p w14:paraId="3C84DD3F" w14:textId="50289EAA" w:rsidR="002E30B4" w:rsidRPr="00654CA3" w:rsidRDefault="005E2A85" w:rsidP="005E2A85">
            <w:r w:rsidRPr="00654CA3">
              <w:t>Student engagement activities and assignments included in the syllabus promote student engagement and active learning in the following ways:</w:t>
            </w:r>
          </w:p>
          <w:p w14:paraId="415BC55C" w14:textId="063CB698" w:rsidR="002E30B4" w:rsidRDefault="002E30B4" w:rsidP="005E2A85">
            <w:pPr>
              <w:pStyle w:val="ListParagraph"/>
              <w:numPr>
                <w:ilvl w:val="0"/>
                <w:numId w:val="4"/>
              </w:numPr>
            </w:pPr>
            <w:r>
              <w:t>Students will participate in synchronous lecture/discussion sessions</w:t>
            </w:r>
          </w:p>
          <w:p w14:paraId="324668C8" w14:textId="1F5E2FB0" w:rsidR="005E2A85" w:rsidRDefault="00FF605A" w:rsidP="005E2A85">
            <w:pPr>
              <w:pStyle w:val="ListParagraph"/>
              <w:numPr>
                <w:ilvl w:val="0"/>
                <w:numId w:val="4"/>
              </w:numPr>
            </w:pPr>
            <w:r>
              <w:t xml:space="preserve">Students will respond to forum readings </w:t>
            </w:r>
          </w:p>
          <w:p w14:paraId="7B58255C" w14:textId="48EAFE35" w:rsidR="00FF605A" w:rsidRDefault="00FF605A" w:rsidP="005E2A85">
            <w:pPr>
              <w:pStyle w:val="ListParagraph"/>
              <w:numPr>
                <w:ilvl w:val="0"/>
                <w:numId w:val="4"/>
              </w:numPr>
            </w:pPr>
            <w:r>
              <w:t>Students will respond to at least two peer discussion board posts weekly</w:t>
            </w:r>
          </w:p>
          <w:p w14:paraId="6235903A" w14:textId="3BEAE4F3" w:rsidR="002E30B4" w:rsidRDefault="002E30B4" w:rsidP="005E2A85">
            <w:pPr>
              <w:pStyle w:val="ListParagraph"/>
              <w:numPr>
                <w:ilvl w:val="0"/>
                <w:numId w:val="4"/>
              </w:numPr>
            </w:pPr>
            <w:r>
              <w:t>Peer responses will also be required for the student discussion board postings</w:t>
            </w:r>
          </w:p>
          <w:p w14:paraId="62F5C5FD" w14:textId="457A8F75" w:rsidR="005E2A85" w:rsidRDefault="00A979B4" w:rsidP="00A979B4">
            <w:pPr>
              <w:pStyle w:val="ListParagraph"/>
              <w:numPr>
                <w:ilvl w:val="0"/>
                <w:numId w:val="4"/>
              </w:numPr>
            </w:pPr>
            <w:r>
              <w:t xml:space="preserve">Students will be responsible for </w:t>
            </w:r>
            <w:r w:rsidR="00C62AF5">
              <w:t>small group work as</w:t>
            </w:r>
            <w:r w:rsidR="00956BF9">
              <w:t>signments within Carmen Connect</w:t>
            </w:r>
          </w:p>
          <w:p w14:paraId="2D8A560E" w14:textId="569310BB" w:rsidR="00A979B4" w:rsidRPr="00A979B4" w:rsidRDefault="00A979B4" w:rsidP="00A979B4">
            <w:pPr>
              <w:pStyle w:val="ListParagraph"/>
            </w:pPr>
          </w:p>
        </w:tc>
      </w:tr>
      <w:tr w:rsidR="005E2A85" w:rsidRPr="00EB3D36" w14:paraId="0B697E92" w14:textId="77777777" w:rsidTr="0077445A">
        <w:tc>
          <w:tcPr>
            <w:tcW w:w="5508" w:type="dxa"/>
          </w:tcPr>
          <w:p w14:paraId="32418151" w14:textId="7F9E43FD" w:rsidR="005E2A85" w:rsidRPr="00EB3D36" w:rsidRDefault="005E2A85" w:rsidP="005E2A8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6.3 </w:t>
            </w:r>
            <w:r w:rsidRPr="00EB3D36">
              <w:rPr>
                <w:rFonts w:ascii="Arial" w:hAnsi="Arial"/>
                <w:sz w:val="20"/>
                <w:szCs w:val="20"/>
              </w:rPr>
              <w:t>Technologies required in the course are readily obtainable.</w:t>
            </w:r>
          </w:p>
        </w:tc>
        <w:tc>
          <w:tcPr>
            <w:tcW w:w="720" w:type="dxa"/>
          </w:tcPr>
          <w:p w14:paraId="160AD53F" w14:textId="40668D65" w:rsidR="005E2A85" w:rsidRPr="00EB3D36" w:rsidRDefault="000F7D8E" w:rsidP="005E2A8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440" w:type="dxa"/>
          </w:tcPr>
          <w:p w14:paraId="38A39D0A" w14:textId="77777777" w:rsidR="005E2A85" w:rsidRPr="00EB3D36" w:rsidRDefault="005E2A85" w:rsidP="005E2A85">
            <w:pPr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77CC6996" w14:textId="77777777" w:rsidR="005E2A85" w:rsidRPr="00EB3D36" w:rsidRDefault="005E2A85" w:rsidP="005E2A85">
            <w:pPr>
              <w:rPr>
                <w:rFonts w:ascii="Arial" w:hAnsi="Arial"/>
              </w:rPr>
            </w:pPr>
          </w:p>
        </w:tc>
        <w:tc>
          <w:tcPr>
            <w:tcW w:w="7290" w:type="dxa"/>
          </w:tcPr>
          <w:p w14:paraId="299A7135" w14:textId="3839303A" w:rsidR="005E2A85" w:rsidRDefault="003D1C04" w:rsidP="00895901">
            <w:r>
              <w:t xml:space="preserve">This </w:t>
            </w:r>
            <w:r w:rsidR="00895901">
              <w:t xml:space="preserve">online course will be delivered entirely through OSU’s </w:t>
            </w:r>
            <w:r w:rsidR="00A1176E">
              <w:t>core common tool set (Carmen, Carmen Connect)</w:t>
            </w:r>
            <w:r w:rsidR="00575455">
              <w:t>.</w:t>
            </w:r>
          </w:p>
          <w:p w14:paraId="77FBA157" w14:textId="7299F68B" w:rsidR="00421571" w:rsidRPr="00EB3D36" w:rsidRDefault="00421571" w:rsidP="00895901">
            <w:pPr>
              <w:rPr>
                <w:rFonts w:ascii="Arial" w:hAnsi="Arial"/>
              </w:rPr>
            </w:pPr>
          </w:p>
        </w:tc>
      </w:tr>
      <w:tr w:rsidR="005E2A85" w:rsidRPr="00EB3D36" w14:paraId="57F67E44" w14:textId="77777777" w:rsidTr="0077445A">
        <w:tc>
          <w:tcPr>
            <w:tcW w:w="5508" w:type="dxa"/>
          </w:tcPr>
          <w:p w14:paraId="6929532B" w14:textId="29EB22B6" w:rsidR="005E2A85" w:rsidRPr="00EB3D36" w:rsidRDefault="005E2A85" w:rsidP="005E2A8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6.4 </w:t>
            </w:r>
            <w:r w:rsidRPr="00EB3D36">
              <w:rPr>
                <w:rFonts w:ascii="Arial" w:hAnsi="Arial"/>
                <w:sz w:val="20"/>
                <w:szCs w:val="20"/>
              </w:rPr>
              <w:t>The course technologies are current.</w:t>
            </w:r>
          </w:p>
        </w:tc>
        <w:tc>
          <w:tcPr>
            <w:tcW w:w="720" w:type="dxa"/>
          </w:tcPr>
          <w:p w14:paraId="7168984C" w14:textId="394B3EF9" w:rsidR="005E2A85" w:rsidRPr="00EB3D36" w:rsidRDefault="000F7D8E" w:rsidP="005E2A8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440" w:type="dxa"/>
          </w:tcPr>
          <w:p w14:paraId="54A7893B" w14:textId="77777777" w:rsidR="005E2A85" w:rsidRPr="00EB3D36" w:rsidRDefault="005E2A85" w:rsidP="005E2A85">
            <w:pPr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3A486C62" w14:textId="77777777" w:rsidR="005E2A85" w:rsidRPr="00EB3D36" w:rsidRDefault="005E2A85" w:rsidP="005E2A85">
            <w:pPr>
              <w:rPr>
                <w:rFonts w:ascii="Arial" w:hAnsi="Arial"/>
              </w:rPr>
            </w:pPr>
          </w:p>
        </w:tc>
        <w:tc>
          <w:tcPr>
            <w:tcW w:w="7290" w:type="dxa"/>
          </w:tcPr>
          <w:p w14:paraId="03CF4C29" w14:textId="04FC039B" w:rsidR="005E2A85" w:rsidRDefault="00421571" w:rsidP="005E2A85">
            <w:r w:rsidRPr="00654CA3">
              <w:t xml:space="preserve">All course technologies explicitly listed in the syllabus </w:t>
            </w:r>
            <w:r w:rsidR="00575455">
              <w:t>are current and offered by OSU.</w:t>
            </w:r>
          </w:p>
          <w:p w14:paraId="0772BE2D" w14:textId="43F0A0B0" w:rsidR="00421571" w:rsidRPr="00EB3D36" w:rsidRDefault="00421571" w:rsidP="005E2A85">
            <w:pPr>
              <w:rPr>
                <w:rFonts w:ascii="Arial" w:hAnsi="Arial"/>
              </w:rPr>
            </w:pPr>
          </w:p>
        </w:tc>
      </w:tr>
      <w:tr w:rsidR="005E2A85" w:rsidRPr="00EB3D36" w14:paraId="1E648CEB" w14:textId="77777777" w:rsidTr="0077445A">
        <w:tc>
          <w:tcPr>
            <w:tcW w:w="5508" w:type="dxa"/>
            <w:tcBorders>
              <w:bottom w:val="single" w:sz="4" w:space="0" w:color="auto"/>
            </w:tcBorders>
          </w:tcPr>
          <w:p w14:paraId="2656E034" w14:textId="4B647134" w:rsidR="005E2A85" w:rsidRPr="00EB3D36" w:rsidRDefault="005E2A85" w:rsidP="005E2A8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6.5 </w:t>
            </w:r>
            <w:r w:rsidRPr="00EB3D36">
              <w:rPr>
                <w:rFonts w:ascii="Arial" w:hAnsi="Arial"/>
                <w:sz w:val="20"/>
                <w:szCs w:val="20"/>
              </w:rPr>
              <w:t>Links are provided to privacy policies for all external tools required in the course.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DE3FB23" w14:textId="4C574C0B" w:rsidR="005E2A85" w:rsidRPr="00EB3D36" w:rsidRDefault="00575455" w:rsidP="005E2A8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E265C28" w14:textId="26D8202E" w:rsidR="005E2A85" w:rsidRPr="00EB3D36" w:rsidRDefault="005E2A85" w:rsidP="005E2A85">
            <w:pPr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0AA60D9" w14:textId="77777777" w:rsidR="005E2A85" w:rsidRPr="00EB3D36" w:rsidRDefault="005E2A85" w:rsidP="005E2A85">
            <w:pPr>
              <w:rPr>
                <w:rFonts w:ascii="Arial" w:hAnsi="Arial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14:paraId="4C0D18D6" w14:textId="77777777" w:rsidR="00C77BEF" w:rsidRDefault="00421571" w:rsidP="005E2A85">
            <w:r w:rsidRPr="00421571">
              <w:t>This course does not use any external tool</w:t>
            </w:r>
            <w:r>
              <w:t>s</w:t>
            </w:r>
            <w:r w:rsidRPr="00421571">
              <w:t>. It will rely entirely on OSU’s core common tool set.</w:t>
            </w:r>
          </w:p>
          <w:p w14:paraId="2352110B" w14:textId="1C32EEB4" w:rsidR="00575455" w:rsidRPr="00421571" w:rsidRDefault="00575455" w:rsidP="005E2A85"/>
        </w:tc>
      </w:tr>
      <w:tr w:rsidR="005E2A85" w:rsidRPr="00EB3D36" w14:paraId="5C0D2572" w14:textId="77777777" w:rsidTr="0077445A">
        <w:tc>
          <w:tcPr>
            <w:tcW w:w="5508" w:type="dxa"/>
            <w:shd w:val="clear" w:color="auto" w:fill="A6A6A6"/>
          </w:tcPr>
          <w:p w14:paraId="127EE203" w14:textId="77777777" w:rsidR="005E2A85" w:rsidRPr="00EB3D36" w:rsidRDefault="005E2A85" w:rsidP="005E2A85">
            <w:pPr>
              <w:jc w:val="center"/>
              <w:rPr>
                <w:rFonts w:ascii="Arial" w:hAnsi="Arial"/>
              </w:rPr>
            </w:pPr>
            <w:r w:rsidRPr="00EB3D36">
              <w:rPr>
                <w:rFonts w:ascii="Arial" w:hAnsi="Arial"/>
                <w:b/>
              </w:rPr>
              <w:t>Standard - Learner Support</w:t>
            </w:r>
          </w:p>
        </w:tc>
        <w:tc>
          <w:tcPr>
            <w:tcW w:w="720" w:type="dxa"/>
            <w:shd w:val="clear" w:color="auto" w:fill="A6A6A6"/>
          </w:tcPr>
          <w:p w14:paraId="28B145A0" w14:textId="77777777" w:rsidR="005E2A85" w:rsidRPr="00EB3D36" w:rsidRDefault="005E2A85" w:rsidP="005E2A85">
            <w:pPr>
              <w:rPr>
                <w:rFonts w:ascii="Arial" w:hAnsi="Arial"/>
              </w:rPr>
            </w:pPr>
          </w:p>
        </w:tc>
        <w:tc>
          <w:tcPr>
            <w:tcW w:w="1440" w:type="dxa"/>
            <w:shd w:val="clear" w:color="auto" w:fill="A6A6A6"/>
          </w:tcPr>
          <w:p w14:paraId="33C8D39F" w14:textId="77777777" w:rsidR="005E2A85" w:rsidRPr="00EB3D36" w:rsidRDefault="005E2A85" w:rsidP="005E2A85">
            <w:pPr>
              <w:rPr>
                <w:rFonts w:ascii="Arial" w:hAnsi="Arial"/>
              </w:rPr>
            </w:pPr>
          </w:p>
        </w:tc>
        <w:tc>
          <w:tcPr>
            <w:tcW w:w="630" w:type="dxa"/>
            <w:shd w:val="clear" w:color="auto" w:fill="A6A6A6"/>
          </w:tcPr>
          <w:p w14:paraId="3A6B3758" w14:textId="77777777" w:rsidR="005E2A85" w:rsidRPr="00EB3D36" w:rsidRDefault="005E2A85" w:rsidP="005E2A85">
            <w:pPr>
              <w:rPr>
                <w:rFonts w:ascii="Arial" w:hAnsi="Arial"/>
              </w:rPr>
            </w:pPr>
          </w:p>
        </w:tc>
        <w:tc>
          <w:tcPr>
            <w:tcW w:w="7290" w:type="dxa"/>
            <w:shd w:val="clear" w:color="auto" w:fill="A6A6A6"/>
          </w:tcPr>
          <w:p w14:paraId="3E36EC1F" w14:textId="77777777" w:rsidR="005E2A85" w:rsidRPr="00EB3D36" w:rsidRDefault="005E2A85" w:rsidP="005E2A85">
            <w:pPr>
              <w:rPr>
                <w:rFonts w:ascii="Arial" w:hAnsi="Arial"/>
              </w:rPr>
            </w:pPr>
          </w:p>
        </w:tc>
      </w:tr>
      <w:tr w:rsidR="005A6C0F" w:rsidRPr="00EB3D36" w14:paraId="517E6B30" w14:textId="77777777" w:rsidTr="0077445A">
        <w:tc>
          <w:tcPr>
            <w:tcW w:w="5508" w:type="dxa"/>
          </w:tcPr>
          <w:p w14:paraId="7F626B7D" w14:textId="2B7DB6C5" w:rsidR="005A6C0F" w:rsidRPr="00EB3D36" w:rsidRDefault="005A6C0F" w:rsidP="005E2A8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7.1 </w:t>
            </w:r>
            <w:r w:rsidRPr="00EB3D36">
              <w:rPr>
                <w:rFonts w:ascii="Arial" w:hAnsi="Arial"/>
                <w:sz w:val="20"/>
                <w:szCs w:val="20"/>
              </w:rPr>
              <w:t>The course instructions articulate or link to a clear description of the technical support offered and how to access it.</w:t>
            </w:r>
          </w:p>
        </w:tc>
        <w:tc>
          <w:tcPr>
            <w:tcW w:w="720" w:type="dxa"/>
          </w:tcPr>
          <w:p w14:paraId="7DC29BE2" w14:textId="49F89FC8" w:rsidR="005A6C0F" w:rsidRPr="00EB3D36" w:rsidRDefault="003503A4" w:rsidP="005E2A8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440" w:type="dxa"/>
          </w:tcPr>
          <w:p w14:paraId="2DE32883" w14:textId="73A988F9" w:rsidR="005A6C0F" w:rsidRPr="00EB3D36" w:rsidRDefault="005A6C0F" w:rsidP="005E2A85">
            <w:pPr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7E95E35B" w14:textId="77777777" w:rsidR="005A6C0F" w:rsidRPr="00EB3D36" w:rsidRDefault="005A6C0F" w:rsidP="005E2A85">
            <w:pPr>
              <w:rPr>
                <w:rFonts w:ascii="Arial" w:hAnsi="Arial"/>
              </w:rPr>
            </w:pPr>
          </w:p>
        </w:tc>
        <w:tc>
          <w:tcPr>
            <w:tcW w:w="7290" w:type="dxa"/>
          </w:tcPr>
          <w:p w14:paraId="660D7258" w14:textId="77777777" w:rsidR="00B13807" w:rsidRDefault="00B13807" w:rsidP="00B13807">
            <w:r>
              <w:t>Recommend that the below links be included in the “Course Technology” section of the syllabus to address all technical support needs of students.</w:t>
            </w:r>
          </w:p>
          <w:p w14:paraId="2CE88B30" w14:textId="77777777" w:rsidR="00B13807" w:rsidRDefault="00B13807" w:rsidP="00B13807"/>
          <w:p w14:paraId="70307585" w14:textId="77777777" w:rsidR="00B13807" w:rsidRDefault="00531218" w:rsidP="00B13807">
            <w:pPr>
              <w:rPr>
                <w:rStyle w:val="Hyperlink"/>
                <w:rFonts w:cs="Calibri"/>
                <w:color w:val="0000FF"/>
              </w:rPr>
            </w:pPr>
            <w:hyperlink r:id="rId6" w:history="1">
              <w:r w:rsidR="00B13807">
                <w:rPr>
                  <w:rStyle w:val="Hyperlink"/>
                  <w:rFonts w:cs="Calibri"/>
                  <w:color w:val="0000FF"/>
                </w:rPr>
                <w:t>https://odee.osu.edu/resourcecenter/carmen</w:t>
              </w:r>
            </w:hyperlink>
          </w:p>
          <w:p w14:paraId="0E195B4B" w14:textId="77777777" w:rsidR="00B13807" w:rsidRDefault="00B13807" w:rsidP="00B13807">
            <w:pPr>
              <w:rPr>
                <w:rStyle w:val="Hyperlink"/>
                <w:rFonts w:cs="Calibri"/>
                <w:color w:val="0000FF"/>
              </w:rPr>
            </w:pPr>
          </w:p>
          <w:p w14:paraId="7DCFF5FA" w14:textId="77777777" w:rsidR="00B13807" w:rsidRDefault="00B13807" w:rsidP="00B13807">
            <w:pPr>
              <w:rPr>
                <w:rStyle w:val="Hyperlink"/>
                <w:rFonts w:cs="Calibri"/>
                <w:color w:val="0000FF"/>
              </w:rPr>
            </w:pPr>
            <w:r>
              <w:rPr>
                <w:rStyle w:val="Hyperlink"/>
                <w:rFonts w:cs="Calibri"/>
                <w:color w:val="0000FF"/>
              </w:rPr>
              <w:t>https://odee.osu.edu/resourcecenter/carmenconnect</w:t>
            </w:r>
          </w:p>
          <w:p w14:paraId="57401BFC" w14:textId="7D937EEE" w:rsidR="005A6C0F" w:rsidRPr="00EB3D36" w:rsidRDefault="005A6C0F" w:rsidP="00146A0B">
            <w:pPr>
              <w:rPr>
                <w:rFonts w:ascii="Arial" w:hAnsi="Arial"/>
              </w:rPr>
            </w:pPr>
          </w:p>
        </w:tc>
      </w:tr>
      <w:tr w:rsidR="005A6C0F" w:rsidRPr="00EB3D36" w14:paraId="5EAB5BA5" w14:textId="77777777" w:rsidTr="0077445A">
        <w:tc>
          <w:tcPr>
            <w:tcW w:w="5508" w:type="dxa"/>
          </w:tcPr>
          <w:p w14:paraId="79E2E5B4" w14:textId="7FC451F2" w:rsidR="005A6C0F" w:rsidRPr="00EB3D36" w:rsidRDefault="005A6C0F" w:rsidP="005E2A85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7.2 </w:t>
            </w:r>
            <w:r w:rsidRPr="00EB3D36">
              <w:rPr>
                <w:rFonts w:ascii="Arial" w:hAnsi="Arial"/>
                <w:sz w:val="20"/>
                <w:szCs w:val="20"/>
              </w:rPr>
              <w:t>Course instructions articulate or link to the institution’s accessibility policies and services.</w:t>
            </w:r>
          </w:p>
        </w:tc>
        <w:tc>
          <w:tcPr>
            <w:tcW w:w="720" w:type="dxa"/>
          </w:tcPr>
          <w:p w14:paraId="10931F5B" w14:textId="4304115E" w:rsidR="005A6C0F" w:rsidRPr="00EB3D36" w:rsidRDefault="003503A4" w:rsidP="005E2A8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440" w:type="dxa"/>
          </w:tcPr>
          <w:p w14:paraId="7726AE5D" w14:textId="5EE64579" w:rsidR="005A6C0F" w:rsidRPr="00EB3D36" w:rsidRDefault="005A6C0F" w:rsidP="005E2A85">
            <w:pPr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21FC0A7E" w14:textId="77777777" w:rsidR="005A6C0F" w:rsidRPr="00EB3D36" w:rsidRDefault="005A6C0F" w:rsidP="005E2A85">
            <w:pPr>
              <w:rPr>
                <w:rFonts w:ascii="Arial" w:hAnsi="Arial"/>
              </w:rPr>
            </w:pPr>
          </w:p>
        </w:tc>
        <w:tc>
          <w:tcPr>
            <w:tcW w:w="7290" w:type="dxa"/>
          </w:tcPr>
          <w:p w14:paraId="08619804" w14:textId="034F1894" w:rsidR="005A6C0F" w:rsidRPr="00B01C7B" w:rsidRDefault="005A6C0F" w:rsidP="005E2A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 w:themeColor="text1"/>
              </w:rPr>
            </w:pPr>
            <w:r w:rsidRPr="00B01C7B">
              <w:rPr>
                <w:rFonts w:ascii="Times" w:hAnsi="Times" w:cs="Times"/>
                <w:color w:val="000000" w:themeColor="text1"/>
              </w:rPr>
              <w:t xml:space="preserve">The below link should be included in the syllabus. The text for the accessibility statement should be in </w:t>
            </w:r>
            <w:r w:rsidRPr="00B01C7B">
              <w:rPr>
                <w:rFonts w:ascii="Times" w:hAnsi="Times" w:cs="Times"/>
                <w:b/>
                <w:color w:val="000000" w:themeColor="text1"/>
              </w:rPr>
              <w:t>BOLD</w:t>
            </w:r>
            <w:r w:rsidRPr="00B01C7B">
              <w:rPr>
                <w:rFonts w:ascii="Times" w:hAnsi="Times" w:cs="Times"/>
                <w:color w:val="000000" w:themeColor="text1"/>
              </w:rPr>
              <w:t xml:space="preserve"> 18pt font.</w:t>
            </w:r>
          </w:p>
          <w:p w14:paraId="120EA30D" w14:textId="4B52B92D" w:rsidR="005A6C0F" w:rsidRDefault="00531218" w:rsidP="005E2A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535353"/>
              </w:rPr>
            </w:pPr>
            <w:hyperlink r:id="rId7" w:history="1">
              <w:r w:rsidR="005A6C0F" w:rsidRPr="00440710">
                <w:rPr>
                  <w:rStyle w:val="Hyperlink"/>
                  <w:rFonts w:ascii="Times" w:hAnsi="Times" w:cs="Times"/>
                </w:rPr>
                <w:t>http://ada.osu.edu/resources/Links.htm</w:t>
              </w:r>
            </w:hyperlink>
          </w:p>
          <w:p w14:paraId="5D2B3C0B" w14:textId="231186BB" w:rsidR="005A6C0F" w:rsidRPr="00E50F4D" w:rsidRDefault="005A6C0F" w:rsidP="005E2A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535353"/>
              </w:rPr>
            </w:pPr>
          </w:p>
        </w:tc>
      </w:tr>
      <w:tr w:rsidR="005A6C0F" w:rsidRPr="00EB3D36" w14:paraId="7873B0BB" w14:textId="77777777" w:rsidTr="0077445A">
        <w:tc>
          <w:tcPr>
            <w:tcW w:w="5508" w:type="dxa"/>
          </w:tcPr>
          <w:p w14:paraId="6EE7A720" w14:textId="7AE8CA43" w:rsidR="005A6C0F" w:rsidRPr="00EB3D36" w:rsidRDefault="005A6C0F" w:rsidP="005E2A8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7.3 </w:t>
            </w:r>
            <w:r w:rsidRPr="00EB3D36">
              <w:rPr>
                <w:rFonts w:ascii="Arial" w:hAnsi="Arial"/>
                <w:sz w:val="20"/>
                <w:szCs w:val="20"/>
              </w:rPr>
              <w:t>Course instructions articulate or link to an explanation of how the institution’s academic support services and resources can help learners succeed in the course and how learners can obtain them.</w:t>
            </w:r>
          </w:p>
        </w:tc>
        <w:tc>
          <w:tcPr>
            <w:tcW w:w="720" w:type="dxa"/>
          </w:tcPr>
          <w:p w14:paraId="48035CD4" w14:textId="2B9C26C1" w:rsidR="005A6C0F" w:rsidRPr="00EB3D36" w:rsidRDefault="003503A4" w:rsidP="005E2A8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440" w:type="dxa"/>
          </w:tcPr>
          <w:p w14:paraId="440D0190" w14:textId="3493F7F4" w:rsidR="005A6C0F" w:rsidRPr="00EB3D36" w:rsidRDefault="005A6C0F" w:rsidP="005E2A85">
            <w:pPr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4201D544" w14:textId="77777777" w:rsidR="005A6C0F" w:rsidRPr="00EB3D36" w:rsidRDefault="005A6C0F" w:rsidP="005E2A85">
            <w:pPr>
              <w:rPr>
                <w:rFonts w:ascii="Arial" w:hAnsi="Arial"/>
              </w:rPr>
            </w:pPr>
          </w:p>
        </w:tc>
        <w:tc>
          <w:tcPr>
            <w:tcW w:w="7290" w:type="dxa"/>
          </w:tcPr>
          <w:p w14:paraId="5652DB61" w14:textId="77777777" w:rsidR="005A6C0F" w:rsidRDefault="005A6C0F" w:rsidP="005E2A85">
            <w:r>
              <w:t xml:space="preserve">The faculty member should add to the syllabus an overview and contact information for the student academic services offered on the OSU main campus. </w:t>
            </w:r>
          </w:p>
          <w:p w14:paraId="43B708A1" w14:textId="77777777" w:rsidR="005A6C0F" w:rsidRDefault="00531218" w:rsidP="005E2A85">
            <w:hyperlink r:id="rId8" w:history="1">
              <w:r w:rsidR="005A6C0F">
                <w:rPr>
                  <w:rStyle w:val="Hyperlink"/>
                  <w:rFonts w:cs="Calibri"/>
                  <w:color w:val="0000FF"/>
                </w:rPr>
                <w:t>http://artsandsciences.osu.edu/current-students/university-resources</w:t>
              </w:r>
            </w:hyperlink>
          </w:p>
          <w:p w14:paraId="5B5F7761" w14:textId="77777777" w:rsidR="005A6C0F" w:rsidRPr="00EB3D36" w:rsidRDefault="005A6C0F" w:rsidP="005E2A85">
            <w:pPr>
              <w:rPr>
                <w:rFonts w:ascii="Arial" w:hAnsi="Arial"/>
              </w:rPr>
            </w:pPr>
          </w:p>
        </w:tc>
      </w:tr>
      <w:tr w:rsidR="005A6C0F" w:rsidRPr="00EB3D36" w14:paraId="2DC455E6" w14:textId="77777777" w:rsidTr="0077445A">
        <w:tc>
          <w:tcPr>
            <w:tcW w:w="5508" w:type="dxa"/>
            <w:tcBorders>
              <w:bottom w:val="single" w:sz="4" w:space="0" w:color="auto"/>
            </w:tcBorders>
          </w:tcPr>
          <w:p w14:paraId="094FF6BD" w14:textId="70949172" w:rsidR="005A6C0F" w:rsidRPr="00EB3D36" w:rsidRDefault="005A6C0F" w:rsidP="005E2A85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7.4 </w:t>
            </w:r>
            <w:r w:rsidRPr="00EB3D36">
              <w:rPr>
                <w:rFonts w:ascii="Arial" w:hAnsi="Arial"/>
                <w:sz w:val="20"/>
                <w:szCs w:val="20"/>
              </w:rPr>
              <w:t>Course instructions articulate or link to an explanation of how the institution’s student services and resources can help learners succeed and how learners can obtain them.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BB96D6D" w14:textId="7371B263" w:rsidR="005A6C0F" w:rsidRPr="00EB3D36" w:rsidRDefault="003503A4" w:rsidP="005E2A8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3A7D459" w14:textId="0DF46274" w:rsidR="005A6C0F" w:rsidRPr="00EB3D36" w:rsidRDefault="005A6C0F" w:rsidP="005E2A85">
            <w:pPr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88A4DCD" w14:textId="77777777" w:rsidR="005A6C0F" w:rsidRPr="00EB3D36" w:rsidRDefault="005A6C0F" w:rsidP="005E2A85">
            <w:pPr>
              <w:rPr>
                <w:rFonts w:ascii="Arial" w:hAnsi="Arial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14:paraId="0BD57443" w14:textId="6191A03A" w:rsidR="005A6C0F" w:rsidRPr="00CA00A2" w:rsidRDefault="005A6C0F" w:rsidP="005E2A85">
            <w:r>
              <w:t xml:space="preserve">The faculty member should add to the syllabus an overview and contact information for student services offered on the OSU main campus. </w:t>
            </w:r>
            <w:r w:rsidR="00CA00A2">
              <w:t xml:space="preserve">Recommend that this link be included in the “Other Course Policies” section of the syllabus.         </w:t>
            </w:r>
            <w:hyperlink r:id="rId9" w:history="1">
              <w:r>
                <w:rPr>
                  <w:rStyle w:val="Hyperlink"/>
                </w:rPr>
                <w:t>http://ssc.osu.edu</w:t>
              </w:r>
            </w:hyperlink>
          </w:p>
          <w:p w14:paraId="16D9F12E" w14:textId="77777777" w:rsidR="005A6C0F" w:rsidRDefault="005A6C0F" w:rsidP="005E2A85">
            <w:pPr>
              <w:rPr>
                <w:color w:val="0000FF" w:themeColor="hyperlink"/>
                <w:u w:val="single"/>
              </w:rPr>
            </w:pPr>
          </w:p>
          <w:p w14:paraId="3CD76181" w14:textId="42062616" w:rsidR="005A6C0F" w:rsidRPr="00EB3D36" w:rsidRDefault="005A6C0F" w:rsidP="00CA00A2">
            <w:pPr>
              <w:rPr>
                <w:rFonts w:ascii="Arial" w:hAnsi="Arial"/>
              </w:rPr>
            </w:pPr>
          </w:p>
        </w:tc>
      </w:tr>
      <w:tr w:rsidR="005A6C0F" w:rsidRPr="00EB3D36" w14:paraId="37715FE1" w14:textId="77777777" w:rsidTr="0077445A">
        <w:tc>
          <w:tcPr>
            <w:tcW w:w="5508" w:type="dxa"/>
            <w:shd w:val="clear" w:color="auto" w:fill="A6A6A6"/>
          </w:tcPr>
          <w:p w14:paraId="60202FB2" w14:textId="77777777" w:rsidR="005A6C0F" w:rsidRPr="00EB3D36" w:rsidRDefault="005A6C0F" w:rsidP="005E2A85">
            <w:pPr>
              <w:jc w:val="center"/>
              <w:rPr>
                <w:rFonts w:ascii="Arial" w:hAnsi="Arial"/>
              </w:rPr>
            </w:pPr>
            <w:r w:rsidRPr="00EB3D36">
              <w:rPr>
                <w:rFonts w:ascii="Arial" w:hAnsi="Arial"/>
                <w:b/>
              </w:rPr>
              <w:lastRenderedPageBreak/>
              <w:t>Standard – Accessibility and Usability</w:t>
            </w:r>
          </w:p>
        </w:tc>
        <w:tc>
          <w:tcPr>
            <w:tcW w:w="720" w:type="dxa"/>
            <w:shd w:val="clear" w:color="auto" w:fill="A6A6A6"/>
          </w:tcPr>
          <w:p w14:paraId="4DD2A305" w14:textId="77777777" w:rsidR="005A6C0F" w:rsidRPr="00EB3D36" w:rsidRDefault="005A6C0F" w:rsidP="005E2A85">
            <w:pPr>
              <w:rPr>
                <w:rFonts w:ascii="Arial" w:hAnsi="Arial"/>
              </w:rPr>
            </w:pPr>
          </w:p>
        </w:tc>
        <w:tc>
          <w:tcPr>
            <w:tcW w:w="1440" w:type="dxa"/>
            <w:shd w:val="clear" w:color="auto" w:fill="A6A6A6"/>
          </w:tcPr>
          <w:p w14:paraId="24C4CB1D" w14:textId="77777777" w:rsidR="005A6C0F" w:rsidRPr="00EB3D36" w:rsidRDefault="005A6C0F" w:rsidP="005E2A85">
            <w:pPr>
              <w:rPr>
                <w:rFonts w:ascii="Arial" w:hAnsi="Arial"/>
              </w:rPr>
            </w:pPr>
          </w:p>
        </w:tc>
        <w:tc>
          <w:tcPr>
            <w:tcW w:w="630" w:type="dxa"/>
            <w:shd w:val="clear" w:color="auto" w:fill="A6A6A6"/>
          </w:tcPr>
          <w:p w14:paraId="2CB0D846" w14:textId="77777777" w:rsidR="005A6C0F" w:rsidRPr="00EB3D36" w:rsidRDefault="005A6C0F" w:rsidP="005E2A85">
            <w:pPr>
              <w:rPr>
                <w:rFonts w:ascii="Arial" w:hAnsi="Arial"/>
              </w:rPr>
            </w:pPr>
          </w:p>
        </w:tc>
        <w:tc>
          <w:tcPr>
            <w:tcW w:w="7290" w:type="dxa"/>
            <w:shd w:val="clear" w:color="auto" w:fill="A6A6A6"/>
          </w:tcPr>
          <w:p w14:paraId="1765CCE0" w14:textId="77777777" w:rsidR="005A6C0F" w:rsidRPr="00EB3D36" w:rsidRDefault="005A6C0F" w:rsidP="005E2A85">
            <w:pPr>
              <w:rPr>
                <w:rFonts w:ascii="Arial" w:hAnsi="Arial"/>
              </w:rPr>
            </w:pPr>
          </w:p>
        </w:tc>
      </w:tr>
      <w:tr w:rsidR="005A6C0F" w:rsidRPr="00EB3D36" w14:paraId="6C11456A" w14:textId="77777777" w:rsidTr="0077445A">
        <w:tc>
          <w:tcPr>
            <w:tcW w:w="5508" w:type="dxa"/>
          </w:tcPr>
          <w:p w14:paraId="1377FE8D" w14:textId="2E6D1E86" w:rsidR="005A6C0F" w:rsidRPr="00EB3D36" w:rsidRDefault="005A6C0F" w:rsidP="005E2A8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8.1 </w:t>
            </w:r>
            <w:r w:rsidRPr="00EB3D36">
              <w:rPr>
                <w:rFonts w:ascii="Arial" w:hAnsi="Arial"/>
                <w:sz w:val="20"/>
                <w:szCs w:val="20"/>
              </w:rPr>
              <w:t>Course navigation facilitates ease of use.</w:t>
            </w:r>
          </w:p>
        </w:tc>
        <w:tc>
          <w:tcPr>
            <w:tcW w:w="720" w:type="dxa"/>
          </w:tcPr>
          <w:p w14:paraId="7D6D2975" w14:textId="6C33F535" w:rsidR="005A6C0F" w:rsidRPr="00EB3D36" w:rsidRDefault="005A6C0F" w:rsidP="005E2A8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440" w:type="dxa"/>
          </w:tcPr>
          <w:p w14:paraId="5FDC5D38" w14:textId="48A48FF8" w:rsidR="005A6C0F" w:rsidRPr="00EB3D36" w:rsidRDefault="005A6C0F" w:rsidP="005E2A85">
            <w:pPr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23F126F4" w14:textId="77777777" w:rsidR="005A6C0F" w:rsidRPr="00EB3D36" w:rsidRDefault="005A6C0F" w:rsidP="005E2A85">
            <w:pPr>
              <w:rPr>
                <w:rFonts w:ascii="Arial" w:hAnsi="Arial"/>
              </w:rPr>
            </w:pPr>
          </w:p>
        </w:tc>
        <w:tc>
          <w:tcPr>
            <w:tcW w:w="7290" w:type="dxa"/>
          </w:tcPr>
          <w:p w14:paraId="74991D2C" w14:textId="77777777" w:rsidR="005A6C0F" w:rsidRDefault="005A6C0F" w:rsidP="00213616">
            <w:pPr>
              <w:rPr>
                <w:rFonts w:cs="Arial"/>
              </w:rPr>
            </w:pPr>
            <w:r w:rsidRPr="00B256AA">
              <w:rPr>
                <w:rFonts w:cs="Arial"/>
              </w:rPr>
              <w:t>Recommend using the Carmen Distance Learning Course Shell to provide a consistent student-user experience in terms of navigation and access to content. Please see comments for further notes.</w:t>
            </w:r>
          </w:p>
          <w:p w14:paraId="757030E9" w14:textId="77777777" w:rsidR="005A6C0F" w:rsidRPr="00EB3D36" w:rsidRDefault="005A6C0F" w:rsidP="005E2A85">
            <w:pPr>
              <w:rPr>
                <w:rFonts w:ascii="Arial" w:hAnsi="Arial"/>
              </w:rPr>
            </w:pPr>
          </w:p>
        </w:tc>
      </w:tr>
      <w:tr w:rsidR="005A6C0F" w:rsidRPr="00EB3D36" w14:paraId="4336F5D1" w14:textId="77777777" w:rsidTr="0077445A">
        <w:tc>
          <w:tcPr>
            <w:tcW w:w="5508" w:type="dxa"/>
          </w:tcPr>
          <w:p w14:paraId="6DA0ED90" w14:textId="3CD67428" w:rsidR="005A6C0F" w:rsidRPr="00EB3D36" w:rsidRDefault="005A6C0F" w:rsidP="005E2A8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8.2 </w:t>
            </w:r>
            <w:r w:rsidRPr="00EB3D36">
              <w:rPr>
                <w:rFonts w:ascii="Arial" w:hAnsi="Arial"/>
                <w:sz w:val="20"/>
                <w:szCs w:val="20"/>
              </w:rPr>
              <w:t>Information is provided about the accessibility of all technologies required in the course.</w:t>
            </w:r>
          </w:p>
        </w:tc>
        <w:tc>
          <w:tcPr>
            <w:tcW w:w="720" w:type="dxa"/>
          </w:tcPr>
          <w:p w14:paraId="51C6A978" w14:textId="602183F5" w:rsidR="005A6C0F" w:rsidRPr="00EB3D36" w:rsidRDefault="005A6C0F" w:rsidP="005E2A8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440" w:type="dxa"/>
          </w:tcPr>
          <w:p w14:paraId="4D6039AF" w14:textId="4F78960E" w:rsidR="005A6C0F" w:rsidRPr="00EB3D36" w:rsidRDefault="005A6C0F" w:rsidP="005E2A85">
            <w:pPr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7F91C749" w14:textId="77777777" w:rsidR="005A6C0F" w:rsidRPr="00EB3D36" w:rsidRDefault="005A6C0F" w:rsidP="005E2A85">
            <w:pPr>
              <w:rPr>
                <w:rFonts w:ascii="Arial" w:hAnsi="Arial"/>
              </w:rPr>
            </w:pPr>
          </w:p>
        </w:tc>
        <w:tc>
          <w:tcPr>
            <w:tcW w:w="7290" w:type="dxa"/>
          </w:tcPr>
          <w:p w14:paraId="705512CD" w14:textId="77777777" w:rsidR="005A6C0F" w:rsidRPr="00075155" w:rsidRDefault="005A6C0F" w:rsidP="007C2784">
            <w:r w:rsidRPr="00075155">
              <w:t>The OSU core common tool set used in this course meets the universities policies for accessibility.</w:t>
            </w:r>
          </w:p>
          <w:p w14:paraId="16973E1F" w14:textId="64657013" w:rsidR="005A6C0F" w:rsidRPr="00EB3D36" w:rsidRDefault="005A6C0F" w:rsidP="000F7D8E">
            <w:pPr>
              <w:rPr>
                <w:rFonts w:ascii="Arial" w:hAnsi="Arial"/>
              </w:rPr>
            </w:pPr>
          </w:p>
        </w:tc>
      </w:tr>
      <w:tr w:rsidR="005A6C0F" w:rsidRPr="00EB3D36" w14:paraId="3A536839" w14:textId="77777777" w:rsidTr="0077445A">
        <w:tc>
          <w:tcPr>
            <w:tcW w:w="5508" w:type="dxa"/>
          </w:tcPr>
          <w:p w14:paraId="2E812280" w14:textId="5DAD20DA" w:rsidR="005A6C0F" w:rsidRPr="00EB3D36" w:rsidRDefault="005A6C0F" w:rsidP="005E2A8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8.3 </w:t>
            </w:r>
            <w:r w:rsidRPr="00EB3D36">
              <w:rPr>
                <w:rFonts w:ascii="Arial" w:hAnsi="Arial"/>
                <w:sz w:val="20"/>
                <w:szCs w:val="20"/>
              </w:rPr>
              <w:t>The course provides alternative means of access to course materials in formats that meet the needs of diverse learners.</w:t>
            </w:r>
          </w:p>
        </w:tc>
        <w:tc>
          <w:tcPr>
            <w:tcW w:w="720" w:type="dxa"/>
          </w:tcPr>
          <w:p w14:paraId="2B155E98" w14:textId="07E9ED10" w:rsidR="005A6C0F" w:rsidRPr="00EB3D36" w:rsidRDefault="005A6C0F" w:rsidP="005E2A8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440" w:type="dxa"/>
          </w:tcPr>
          <w:p w14:paraId="6DDABBBE" w14:textId="16A66128" w:rsidR="005A6C0F" w:rsidRPr="00EB3D36" w:rsidRDefault="005A6C0F" w:rsidP="005E2A85">
            <w:pPr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7B614FA5" w14:textId="77777777" w:rsidR="005A6C0F" w:rsidRPr="00EB3D36" w:rsidRDefault="005A6C0F" w:rsidP="005E2A85">
            <w:pPr>
              <w:rPr>
                <w:rFonts w:ascii="Arial" w:hAnsi="Arial"/>
              </w:rPr>
            </w:pPr>
          </w:p>
        </w:tc>
        <w:tc>
          <w:tcPr>
            <w:tcW w:w="7290" w:type="dxa"/>
          </w:tcPr>
          <w:p w14:paraId="3AF070F1" w14:textId="77777777" w:rsidR="005A6C0F" w:rsidRDefault="005A6C0F" w:rsidP="00C70E2B">
            <w:r w:rsidRPr="00E04D40">
              <w:t>Recommend that resources be developed to address any requests for alternative means of access to course materials.  These resources should be in formats that meet the needs of diverse learners.</w:t>
            </w:r>
          </w:p>
          <w:p w14:paraId="5F39753C" w14:textId="77777777" w:rsidR="005A6C0F" w:rsidRPr="00EB3D36" w:rsidRDefault="005A6C0F" w:rsidP="005E2A85">
            <w:pPr>
              <w:rPr>
                <w:rFonts w:ascii="Arial" w:hAnsi="Arial"/>
              </w:rPr>
            </w:pPr>
          </w:p>
        </w:tc>
      </w:tr>
      <w:tr w:rsidR="005A6C0F" w:rsidRPr="00EB3D36" w14:paraId="0789202A" w14:textId="77777777" w:rsidTr="0077445A">
        <w:tc>
          <w:tcPr>
            <w:tcW w:w="5508" w:type="dxa"/>
          </w:tcPr>
          <w:p w14:paraId="2CD21BFD" w14:textId="7A81B4D3" w:rsidR="005A6C0F" w:rsidRPr="00EB3D36" w:rsidRDefault="005A6C0F" w:rsidP="009960B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8.4 </w:t>
            </w:r>
            <w:r w:rsidRPr="00EB3D36">
              <w:rPr>
                <w:rFonts w:ascii="Arial" w:hAnsi="Arial"/>
                <w:sz w:val="20"/>
                <w:szCs w:val="20"/>
              </w:rPr>
              <w:t>The course design facilitates readability</w:t>
            </w:r>
          </w:p>
        </w:tc>
        <w:tc>
          <w:tcPr>
            <w:tcW w:w="720" w:type="dxa"/>
          </w:tcPr>
          <w:p w14:paraId="1388851E" w14:textId="1A645DE4" w:rsidR="005A6C0F" w:rsidRPr="00EB3D36" w:rsidRDefault="005A6C0F" w:rsidP="009960B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440" w:type="dxa"/>
          </w:tcPr>
          <w:p w14:paraId="776778F5" w14:textId="015E515F" w:rsidR="005A6C0F" w:rsidRPr="00EB3D36" w:rsidRDefault="005A6C0F" w:rsidP="009960B6">
            <w:pPr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57983D86" w14:textId="77777777" w:rsidR="005A6C0F" w:rsidRPr="00EB3D36" w:rsidRDefault="005A6C0F" w:rsidP="009960B6">
            <w:pPr>
              <w:rPr>
                <w:rFonts w:ascii="Arial" w:hAnsi="Arial"/>
              </w:rPr>
            </w:pPr>
          </w:p>
        </w:tc>
        <w:tc>
          <w:tcPr>
            <w:tcW w:w="7290" w:type="dxa"/>
          </w:tcPr>
          <w:p w14:paraId="067D1487" w14:textId="7602AD0B" w:rsidR="005A6C0F" w:rsidRPr="00EB3D36" w:rsidRDefault="005A6C0F" w:rsidP="009960B6">
            <w:pPr>
              <w:rPr>
                <w:rFonts w:ascii="Arial" w:hAnsi="Arial"/>
              </w:rPr>
            </w:pPr>
            <w:r w:rsidRPr="001C0A5A">
              <w:rPr>
                <w:rFonts w:cs="Arial"/>
              </w:rPr>
              <w:t>Recommend using the Carmen Distance Learning Course Shell to provide a consistent student-user experience in terms of navigation and access to content.</w:t>
            </w:r>
            <w:r>
              <w:rPr>
                <w:rFonts w:cs="Arial"/>
              </w:rPr>
              <w:br/>
            </w:r>
          </w:p>
        </w:tc>
      </w:tr>
      <w:tr w:rsidR="005A6C0F" w:rsidRPr="00EB3D36" w14:paraId="51822164" w14:textId="77777777" w:rsidTr="0077445A">
        <w:tc>
          <w:tcPr>
            <w:tcW w:w="5508" w:type="dxa"/>
          </w:tcPr>
          <w:p w14:paraId="32A3A9AD" w14:textId="580737ED" w:rsidR="005A6C0F" w:rsidRPr="00EB3D36" w:rsidRDefault="005A6C0F" w:rsidP="009960B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8.5 </w:t>
            </w:r>
            <w:r w:rsidRPr="00EB3D36">
              <w:rPr>
                <w:rFonts w:ascii="Arial" w:hAnsi="Arial"/>
                <w:sz w:val="20"/>
                <w:szCs w:val="20"/>
              </w:rPr>
              <w:t>Course multimedia facilitate ease of use.</w:t>
            </w:r>
          </w:p>
        </w:tc>
        <w:tc>
          <w:tcPr>
            <w:tcW w:w="720" w:type="dxa"/>
          </w:tcPr>
          <w:p w14:paraId="4BB11116" w14:textId="4C1C2BBC" w:rsidR="005A6C0F" w:rsidRPr="00EB3D36" w:rsidRDefault="005A6C0F" w:rsidP="009960B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440" w:type="dxa"/>
          </w:tcPr>
          <w:p w14:paraId="62E95E85" w14:textId="77777777" w:rsidR="005A6C0F" w:rsidRPr="00EB3D36" w:rsidRDefault="005A6C0F" w:rsidP="009960B6">
            <w:pPr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2DDBF2E1" w14:textId="77777777" w:rsidR="005A6C0F" w:rsidRPr="00EB3D36" w:rsidRDefault="005A6C0F" w:rsidP="009960B6">
            <w:pPr>
              <w:rPr>
                <w:rFonts w:ascii="Arial" w:hAnsi="Arial"/>
              </w:rPr>
            </w:pPr>
          </w:p>
        </w:tc>
        <w:tc>
          <w:tcPr>
            <w:tcW w:w="7290" w:type="dxa"/>
          </w:tcPr>
          <w:p w14:paraId="639C4BF2" w14:textId="77777777" w:rsidR="005A6C0F" w:rsidRDefault="005A6C0F" w:rsidP="00A63027">
            <w:r>
              <w:t>All assignments and activities that use the core common tool set at Ohio State facilitate ease of use with embedded multimedia.</w:t>
            </w:r>
          </w:p>
          <w:p w14:paraId="6A015E0E" w14:textId="77777777" w:rsidR="005A6C0F" w:rsidRPr="00EB3D36" w:rsidRDefault="005A6C0F" w:rsidP="009960B6">
            <w:pPr>
              <w:rPr>
                <w:rFonts w:ascii="Arial" w:hAnsi="Arial"/>
              </w:rPr>
            </w:pPr>
          </w:p>
        </w:tc>
      </w:tr>
    </w:tbl>
    <w:p w14:paraId="3CB8B04F" w14:textId="77777777" w:rsidR="000C168F" w:rsidRDefault="000C168F" w:rsidP="000C168F">
      <w:pPr>
        <w:rPr>
          <w:rFonts w:ascii="Arial" w:hAnsi="Arial"/>
        </w:rPr>
      </w:pPr>
    </w:p>
    <w:p w14:paraId="67711E5D" w14:textId="77777777" w:rsidR="0077445A" w:rsidRPr="0077445A" w:rsidRDefault="0077445A" w:rsidP="0077445A">
      <w:pPr>
        <w:rPr>
          <w:rFonts w:ascii="Arial" w:hAnsi="Arial"/>
          <w:b/>
        </w:rPr>
      </w:pPr>
      <w:r w:rsidRPr="0077445A">
        <w:rPr>
          <w:rFonts w:ascii="Arial" w:hAnsi="Arial"/>
          <w:b/>
        </w:rPr>
        <w:t xml:space="preserve">Reviewer Information  </w:t>
      </w:r>
    </w:p>
    <w:p w14:paraId="79A6D709" w14:textId="78C194ED" w:rsidR="0077445A" w:rsidRPr="0077445A" w:rsidRDefault="0077445A" w:rsidP="0077445A">
      <w:pPr>
        <w:pStyle w:val="ListParagraph"/>
        <w:numPr>
          <w:ilvl w:val="0"/>
          <w:numId w:val="3"/>
        </w:numPr>
        <w:rPr>
          <w:rFonts w:ascii="Arial" w:hAnsi="Arial"/>
          <w:b/>
        </w:rPr>
      </w:pPr>
      <w:r w:rsidRPr="0077445A">
        <w:rPr>
          <w:rFonts w:ascii="Arial" w:hAnsi="Arial"/>
        </w:rPr>
        <w:t xml:space="preserve">Date Reviewed: </w:t>
      </w:r>
      <w:r w:rsidR="00716872">
        <w:rPr>
          <w:rFonts w:ascii="Arial" w:hAnsi="Arial"/>
        </w:rPr>
        <w:t>October 9</w:t>
      </w:r>
      <w:r w:rsidR="00A63027">
        <w:rPr>
          <w:rFonts w:ascii="Arial" w:hAnsi="Arial"/>
        </w:rPr>
        <w:t>, 2015</w:t>
      </w:r>
    </w:p>
    <w:p w14:paraId="10945AC6" w14:textId="3CCFB079" w:rsidR="0077445A" w:rsidRDefault="002A43C7" w:rsidP="0077445A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Reviewed b</w:t>
      </w:r>
      <w:r w:rsidR="00A369D8">
        <w:rPr>
          <w:rFonts w:ascii="Arial" w:hAnsi="Arial"/>
        </w:rPr>
        <w:t xml:space="preserve">y: </w:t>
      </w:r>
      <w:r w:rsidR="00A63027">
        <w:rPr>
          <w:rFonts w:ascii="Arial" w:hAnsi="Arial"/>
        </w:rPr>
        <w:t xml:space="preserve">Mike Kaylor </w:t>
      </w:r>
    </w:p>
    <w:p w14:paraId="3278F919" w14:textId="177AAFA8" w:rsidR="00575455" w:rsidRDefault="004046CA" w:rsidP="0077445A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Comments</w:t>
      </w:r>
      <w:r w:rsidR="00575455">
        <w:rPr>
          <w:rFonts w:ascii="Arial" w:hAnsi="Arial"/>
        </w:rPr>
        <w:t xml:space="preserve">: </w:t>
      </w:r>
    </w:p>
    <w:p w14:paraId="7EFB23DB" w14:textId="77777777" w:rsidR="0077445A" w:rsidRPr="00EB3D36" w:rsidRDefault="0077445A" w:rsidP="000C168F">
      <w:pPr>
        <w:rPr>
          <w:rFonts w:ascii="Arial" w:hAnsi="Arial"/>
        </w:rPr>
      </w:pPr>
    </w:p>
    <w:p w14:paraId="14509873" w14:textId="77777777" w:rsidR="00855DC8" w:rsidRPr="00EB3D36" w:rsidRDefault="00855DC8">
      <w:pPr>
        <w:rPr>
          <w:rFonts w:ascii="Arial" w:hAnsi="Arial"/>
        </w:rPr>
      </w:pPr>
    </w:p>
    <w:sectPr w:rsidR="00855DC8" w:rsidRPr="00EB3D36" w:rsidSect="000C168F">
      <w:pgSz w:w="2016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733C9"/>
    <w:multiLevelType w:val="hybridMultilevel"/>
    <w:tmpl w:val="FDBCA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66A9E"/>
    <w:multiLevelType w:val="hybridMultilevel"/>
    <w:tmpl w:val="A9D28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3549C"/>
    <w:multiLevelType w:val="hybridMultilevel"/>
    <w:tmpl w:val="A4B8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E13C1"/>
    <w:multiLevelType w:val="hybridMultilevel"/>
    <w:tmpl w:val="FDBCA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8F"/>
    <w:rsid w:val="000C168F"/>
    <w:rsid w:val="000F7D8E"/>
    <w:rsid w:val="00117522"/>
    <w:rsid w:val="00146A0B"/>
    <w:rsid w:val="001F19AD"/>
    <w:rsid w:val="00213616"/>
    <w:rsid w:val="00271FFA"/>
    <w:rsid w:val="0029415E"/>
    <w:rsid w:val="002A43C7"/>
    <w:rsid w:val="002E30B4"/>
    <w:rsid w:val="003503A4"/>
    <w:rsid w:val="00357F0E"/>
    <w:rsid w:val="003D1C04"/>
    <w:rsid w:val="004046CA"/>
    <w:rsid w:val="004135A6"/>
    <w:rsid w:val="00421571"/>
    <w:rsid w:val="00531218"/>
    <w:rsid w:val="00575455"/>
    <w:rsid w:val="005A6C0F"/>
    <w:rsid w:val="005B30E6"/>
    <w:rsid w:val="005E2A85"/>
    <w:rsid w:val="00716872"/>
    <w:rsid w:val="00716CB1"/>
    <w:rsid w:val="00752923"/>
    <w:rsid w:val="0077445A"/>
    <w:rsid w:val="007C2784"/>
    <w:rsid w:val="00855DC8"/>
    <w:rsid w:val="00895901"/>
    <w:rsid w:val="008C2683"/>
    <w:rsid w:val="00956BF9"/>
    <w:rsid w:val="009960B6"/>
    <w:rsid w:val="009B528F"/>
    <w:rsid w:val="009D06FC"/>
    <w:rsid w:val="00A1176E"/>
    <w:rsid w:val="00A369D8"/>
    <w:rsid w:val="00A63027"/>
    <w:rsid w:val="00A77D44"/>
    <w:rsid w:val="00A979B4"/>
    <w:rsid w:val="00AE1470"/>
    <w:rsid w:val="00B01C7B"/>
    <w:rsid w:val="00B13807"/>
    <w:rsid w:val="00C62AF5"/>
    <w:rsid w:val="00C70E2B"/>
    <w:rsid w:val="00C77BEF"/>
    <w:rsid w:val="00CA00A2"/>
    <w:rsid w:val="00D10763"/>
    <w:rsid w:val="00D3205F"/>
    <w:rsid w:val="00D32B17"/>
    <w:rsid w:val="00DD1415"/>
    <w:rsid w:val="00E0635E"/>
    <w:rsid w:val="00E50F4D"/>
    <w:rsid w:val="00E618C9"/>
    <w:rsid w:val="00EA33D2"/>
    <w:rsid w:val="00EB3D36"/>
    <w:rsid w:val="00ED29AE"/>
    <w:rsid w:val="00F57860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E9CF09"/>
  <w14:defaultImageDpi w14:val="300"/>
  <w15:docId w15:val="{496A82D6-AF82-4C71-85E2-03DE678C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6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78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sandsciences.osu.edu/current-students/university-resources" TargetMode="External"/><Relationship Id="rId3" Type="http://schemas.openxmlformats.org/officeDocument/2006/relationships/styles" Target="styles.xml"/><Relationship Id="rId7" Type="http://schemas.openxmlformats.org/officeDocument/2006/relationships/hyperlink" Target="http://ada.osu.edu/resources/Links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ee.osu.edu/resourcecenter/carme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sc.o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F2ADFA-FE2C-47D9-97A4-2A1C75D0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Kaylor</dc:creator>
  <cp:keywords/>
  <dc:description/>
  <cp:lastModifiedBy>Elliott, Lynaya J.</cp:lastModifiedBy>
  <cp:revision>2</cp:revision>
  <cp:lastPrinted>2015-09-30T19:50:00Z</cp:lastPrinted>
  <dcterms:created xsi:type="dcterms:W3CDTF">2015-10-21T19:02:00Z</dcterms:created>
  <dcterms:modified xsi:type="dcterms:W3CDTF">2015-10-21T19:02:00Z</dcterms:modified>
</cp:coreProperties>
</file>